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6A" w:rsidRPr="00660060" w:rsidRDefault="00660060" w:rsidP="00025BAD">
      <w:pPr>
        <w:spacing w:after="0" w:line="240" w:lineRule="auto"/>
        <w:jc w:val="center"/>
        <w:rPr>
          <w:b/>
          <w:sz w:val="32"/>
          <w:szCs w:val="32"/>
        </w:rPr>
      </w:pPr>
      <w:r w:rsidRPr="00660060">
        <w:rPr>
          <w:b/>
          <w:sz w:val="32"/>
          <w:szCs w:val="32"/>
        </w:rPr>
        <w:t>Analyse Ages installation surdité et durées surdité</w:t>
      </w:r>
    </w:p>
    <w:p w:rsidR="00660060" w:rsidRDefault="00660060" w:rsidP="00025BAD">
      <w:pPr>
        <w:spacing w:after="0" w:line="240" w:lineRule="auto"/>
      </w:pPr>
    </w:p>
    <w:p w:rsidR="00660060" w:rsidRDefault="00660060" w:rsidP="00025BA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  <w:u w:val="single"/>
        </w:rPr>
      </w:pPr>
      <w:proofErr w:type="spellStart"/>
      <w:r w:rsidRPr="00660060">
        <w:rPr>
          <w:rFonts w:cs="Times New Roman"/>
          <w:b/>
          <w:sz w:val="28"/>
          <w:szCs w:val="28"/>
          <w:u w:val="single"/>
        </w:rPr>
        <w:t>Récap</w:t>
      </w:r>
      <w:proofErr w:type="spellEnd"/>
      <w:r w:rsidRPr="00660060">
        <w:rPr>
          <w:rFonts w:cs="Times New Roman"/>
          <w:b/>
          <w:sz w:val="28"/>
          <w:szCs w:val="28"/>
          <w:u w:val="single"/>
        </w:rPr>
        <w:t xml:space="preserve"> variables :</w:t>
      </w:r>
    </w:p>
    <w:p w:rsidR="00BB6C20" w:rsidRPr="00BB6C20" w:rsidRDefault="00BB6C20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21"/>
        <w:gridCol w:w="1417"/>
        <w:gridCol w:w="1048"/>
        <w:gridCol w:w="1276"/>
        <w:gridCol w:w="1417"/>
        <w:gridCol w:w="1418"/>
        <w:gridCol w:w="992"/>
        <w:gridCol w:w="1276"/>
      </w:tblGrid>
      <w:tr w:rsidR="00BB6C20" w:rsidRPr="00BB6C20" w:rsidTr="00BB6C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B6C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BB6C20" w:rsidRPr="00BB6C20" w:rsidTr="00BB6C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Age instauration surdité profonde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</w:t>
            </w:r>
            <w:proofErr w:type="spellStart"/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Sprfde</w:t>
            </w:r>
            <w:proofErr w:type="spellEnd"/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/implant (mois)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DuréeSprfde_Ann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é</w:t>
            </w: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</w:tr>
      <w:tr w:rsidR="00BB6C20" w:rsidRPr="00BB6C20" w:rsidTr="00BB6C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10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BB6C20" w:rsidRPr="00BB6C20" w:rsidTr="00BB6C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B6C20" w:rsidRPr="00BB6C20" w:rsidTr="00BB6C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3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66006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Moyenne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27,96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22,96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50,91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117,91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9,826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60,43</w:t>
            </w:r>
          </w:p>
        </w:tc>
      </w:tr>
      <w:tr w:rsidR="00BB6C20" w:rsidRPr="00BB6C20" w:rsidTr="00BB6C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3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66006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Médiane </w:t>
            </w:r>
            <w:r w:rsidRPr="00660060">
              <w:rPr>
                <w:rFonts w:ascii="Arial" w:hAnsi="Arial" w:cs="Arial"/>
                <w:color w:val="000000"/>
                <w:sz w:val="16"/>
                <w:szCs w:val="16"/>
              </w:rPr>
              <w:t>(valeur qui divise l’échantillon en 2)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61,00</w:t>
            </w:r>
          </w:p>
        </w:tc>
      </w:tr>
      <w:tr w:rsidR="00BB6C20" w:rsidRPr="00BB6C20" w:rsidTr="00BB6C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3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66006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Ecart Type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9,758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16,606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15,937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107,904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8,9920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12,820</w:t>
            </w:r>
          </w:p>
        </w:tc>
      </w:tr>
      <w:tr w:rsidR="00BB6C20" w:rsidRPr="00BB6C20" w:rsidTr="00BB6C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3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66006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BB6C20" w:rsidRPr="00BB6C20" w:rsidTr="00BB6C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3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66006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BB6C20" w:rsidRPr="00BB6C20" w:rsidTr="00BB6C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Percentiles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BB6C20" w:rsidRPr="00BB6C20" w:rsidTr="00BB6C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61,00</w:t>
            </w:r>
          </w:p>
        </w:tc>
      </w:tr>
      <w:tr w:rsidR="00BB6C20" w:rsidRPr="00BB6C20" w:rsidTr="00BB6C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192,00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B6C20" w:rsidRPr="00BB6C20" w:rsidRDefault="00BB6C2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C20">
              <w:rPr>
                <w:rFonts w:ascii="Arial" w:hAnsi="Arial" w:cs="Arial"/>
                <w:color w:val="000000"/>
                <w:sz w:val="18"/>
                <w:szCs w:val="18"/>
              </w:rPr>
              <w:t>71,00</w:t>
            </w:r>
          </w:p>
        </w:tc>
      </w:tr>
    </w:tbl>
    <w:p w:rsidR="00BB6C20" w:rsidRPr="00BB6C20" w:rsidRDefault="00BB6C20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C20" w:rsidRDefault="00BB6C20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BAD" w:rsidRDefault="00025BAD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060" w:rsidRPr="00660060" w:rsidRDefault="00660060" w:rsidP="00025BA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  <w:u w:val="single"/>
        </w:rPr>
      </w:pPr>
      <w:r w:rsidRPr="00660060">
        <w:rPr>
          <w:rFonts w:cs="Times New Roman"/>
          <w:b/>
          <w:sz w:val="28"/>
          <w:szCs w:val="28"/>
          <w:u w:val="single"/>
        </w:rPr>
        <w:t>Détail </w:t>
      </w:r>
      <w:r w:rsidR="00025BAD">
        <w:rPr>
          <w:rFonts w:cs="Times New Roman"/>
          <w:b/>
          <w:sz w:val="28"/>
          <w:szCs w:val="28"/>
          <w:u w:val="single"/>
        </w:rPr>
        <w:t xml:space="preserve">des distributions </w:t>
      </w:r>
      <w:r w:rsidRPr="00660060">
        <w:rPr>
          <w:rFonts w:cs="Times New Roman"/>
          <w:b/>
          <w:sz w:val="28"/>
          <w:szCs w:val="28"/>
          <w:u w:val="single"/>
        </w:rPr>
        <w:t>:</w:t>
      </w:r>
    </w:p>
    <w:p w:rsidR="00660060" w:rsidRDefault="00660060" w:rsidP="00025BAD">
      <w:pPr>
        <w:spacing w:after="0" w:line="240" w:lineRule="auto"/>
      </w:pPr>
    </w:p>
    <w:p w:rsidR="00660060" w:rsidRPr="00660060" w:rsidRDefault="00660060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 instauration surdité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 xml:space="preserve">Cumulative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BB6C20">
              <w:rPr>
                <w:rFonts w:ascii="Arial" w:hAnsi="Arial" w:cs="Arial"/>
                <w:color w:val="000000"/>
                <w:sz w:val="18"/>
                <w:szCs w:val="18"/>
              </w:rPr>
              <w:t xml:space="preserve"> ans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39,1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</w:tr>
      <w:tr w:rsidR="00660060" w:rsidRPr="00660060" w:rsidT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69,6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73,9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78,3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060" w:rsidRPr="00660060" w:rsidRDefault="00660060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060" w:rsidRDefault="00660060" w:rsidP="00025BAD">
      <w:pPr>
        <w:spacing w:after="0" w:line="240" w:lineRule="auto"/>
      </w:pPr>
      <w:r>
        <w:t xml:space="preserve">En moyenne, instauration surdité à 28 ans. La </w:t>
      </w:r>
      <w:r w:rsidRPr="00660060">
        <w:rPr>
          <w:highlight w:val="yellow"/>
        </w:rPr>
        <w:t>médiane</w:t>
      </w:r>
      <w:r>
        <w:t xml:space="preserve"> est à 29 ans, c’est-à-dire qu’il y a autant de patients qui sont devenus sourds en dessous de 29 ans, qu’au-dessus de 29 ans dans l’échantillon.</w:t>
      </w:r>
    </w:p>
    <w:p w:rsidR="00660060" w:rsidRDefault="00660060" w:rsidP="00025BAD">
      <w:pPr>
        <w:spacing w:after="0" w:line="240" w:lineRule="auto"/>
      </w:pPr>
    </w:p>
    <w:p w:rsidR="00BB6C20" w:rsidRDefault="00BB6C20" w:rsidP="00025BAD">
      <w:pPr>
        <w:spacing w:line="240" w:lineRule="auto"/>
      </w:pPr>
      <w:r>
        <w:t>En 2 groupes en se basant sur la médiane :</w:t>
      </w:r>
    </w:p>
    <w:p w:rsidR="00AB65B7" w:rsidRP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1284"/>
        <w:gridCol w:w="1165"/>
        <w:gridCol w:w="1018"/>
        <w:gridCol w:w="1394"/>
        <w:gridCol w:w="1468"/>
      </w:tblGrid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 instauration surdité en 2 groupes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12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29 ans ou -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+ de 29 ans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7" w:rsidRP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060" w:rsidRDefault="00660060" w:rsidP="00025BAD">
      <w:pPr>
        <w:pBdr>
          <w:top w:val="single" w:sz="4" w:space="1" w:color="auto"/>
        </w:pBdr>
        <w:spacing w:after="0" w:line="240" w:lineRule="auto"/>
      </w:pPr>
    </w:p>
    <w:p w:rsidR="00660060" w:rsidRPr="00660060" w:rsidRDefault="00660060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durée vers la surdité profonde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mois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39,1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</w:tr>
      <w:tr w:rsidR="00660060" w:rsidRPr="00660060" w:rsidT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56,5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69,6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73,9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78,3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87,0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91,3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660060" w:rsidRPr="006600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006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60060" w:rsidRPr="00660060" w:rsidRDefault="00660060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060" w:rsidRPr="00660060" w:rsidRDefault="00660060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5B7" w:rsidRDefault="00AB65B7" w:rsidP="00025BAD">
      <w:pPr>
        <w:spacing w:line="240" w:lineRule="auto"/>
      </w:pPr>
      <w:r>
        <w:t>En 2 groupes en se basant sur la médiane :</w:t>
      </w:r>
    </w:p>
    <w:p w:rsidR="00AB65B7" w:rsidRP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1284"/>
        <w:gridCol w:w="1165"/>
        <w:gridCol w:w="1018"/>
        <w:gridCol w:w="1394"/>
        <w:gridCol w:w="1468"/>
      </w:tblGrid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durée vers la surdité profonde en 2 groupes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12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24 ans ou -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+ de 24 ans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7" w:rsidRP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5B7" w:rsidRDefault="00AB65B7" w:rsidP="00025BAD">
      <w:pPr>
        <w:spacing w:line="240" w:lineRule="auto"/>
      </w:pPr>
      <w:r>
        <w:br w:type="page"/>
      </w:r>
    </w:p>
    <w:p w:rsidR="00660060" w:rsidRDefault="00660060" w:rsidP="00025BAD">
      <w:pPr>
        <w:pBdr>
          <w:top w:val="single" w:sz="4" w:space="1" w:color="auto"/>
        </w:pBdr>
        <w:spacing w:after="0" w:line="240" w:lineRule="auto"/>
      </w:pPr>
    </w:p>
    <w:p w:rsidR="00AB65B7" w:rsidRP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 instauration surdité profonde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39,1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</w:tr>
      <w:tr w:rsidR="00AB65B7" w:rsidRPr="00AB65B7" w:rsidT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60,9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69,6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73,9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87,0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91,3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7" w:rsidRP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5B7" w:rsidRPr="00AB65B7" w:rsidRDefault="00AB65B7" w:rsidP="00025B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En 2 groupes en se basant sur la médiane :</w:t>
      </w:r>
    </w:p>
    <w:tbl>
      <w:tblPr>
        <w:tblW w:w="70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1284"/>
        <w:gridCol w:w="1165"/>
        <w:gridCol w:w="1018"/>
        <w:gridCol w:w="1394"/>
        <w:gridCol w:w="1468"/>
      </w:tblGrid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 instauration surdité profonde en 2 groupes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12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 ans ou -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+ de 52 ans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7" w:rsidRP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5B7" w:rsidRDefault="00AB65B7" w:rsidP="00025BAD">
      <w:pPr>
        <w:spacing w:line="240" w:lineRule="auto"/>
      </w:pPr>
    </w:p>
    <w:p w:rsidR="00AB65B7" w:rsidRDefault="00AB65B7" w:rsidP="00025BAD">
      <w:pPr>
        <w:pBdr>
          <w:top w:val="single" w:sz="4" w:space="1" w:color="auto"/>
        </w:pBdr>
        <w:spacing w:after="0" w:line="240" w:lineRule="auto"/>
      </w:pPr>
    </w:p>
    <w:p w:rsidR="00AB65B7" w:rsidRP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DuréeSprfde_Annees</w:t>
            </w:r>
            <w:proofErr w:type="spellEnd"/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39,1</w:t>
            </w:r>
          </w:p>
        </w:tc>
      </w:tr>
      <w:tr w:rsidR="00AB65B7" w:rsidRPr="00AB65B7" w:rsidT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60,9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69,6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73,9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78,3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87,0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91,3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5B7" w:rsidRPr="00AB65B7" w:rsidRDefault="00AB65B7" w:rsidP="00025B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En 2 groupes en se basant sur la médiane :</w:t>
      </w:r>
    </w:p>
    <w:tbl>
      <w:tblPr>
        <w:tblW w:w="695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1177"/>
        <w:gridCol w:w="1165"/>
        <w:gridCol w:w="1018"/>
        <w:gridCol w:w="1394"/>
        <w:gridCol w:w="1468"/>
      </w:tblGrid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DuréeSprfde_Annees</w:t>
            </w:r>
            <w:proofErr w:type="spellEnd"/>
            <w:r w:rsidRPr="00AB6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 2 groupes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11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7 ans ou -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+ de 7 ans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7" w:rsidRP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5B7" w:rsidRP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5B7" w:rsidRDefault="00AB65B7" w:rsidP="00025BAD">
      <w:pPr>
        <w:pBdr>
          <w:top w:val="single" w:sz="4" w:space="1" w:color="auto"/>
        </w:pBdr>
        <w:spacing w:after="0" w:line="240" w:lineRule="auto"/>
      </w:pPr>
    </w:p>
    <w:p w:rsidR="00AB65B7" w:rsidRP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 d'implantation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39,1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</w:tr>
      <w:tr w:rsidR="00AB65B7" w:rsidRPr="00AB65B7" w:rsidT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56,5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60,9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69,6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78,3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87,0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91,3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AB65B7" w:rsidRPr="00AB65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5B7" w:rsidRPr="00AB65B7" w:rsidRDefault="00AB65B7" w:rsidP="00025B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En 2 groupes en se basant sur la médiane :</w:t>
      </w:r>
    </w:p>
    <w:tbl>
      <w:tblPr>
        <w:tblW w:w="713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1351"/>
        <w:gridCol w:w="1165"/>
        <w:gridCol w:w="1018"/>
        <w:gridCol w:w="1394"/>
        <w:gridCol w:w="1468"/>
      </w:tblGrid>
      <w:tr w:rsidR="00AB65B7" w:rsidRPr="00AB65B7" w:rsidT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 d'implantation en 2 groupes</w:t>
            </w:r>
          </w:p>
        </w:tc>
      </w:tr>
      <w:tr w:rsidR="00AB65B7" w:rsidRPr="00AB65B7" w:rsidT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B65B7" w:rsidRPr="00AB65B7" w:rsidT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13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ans ou-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56,5</w:t>
            </w:r>
          </w:p>
        </w:tc>
      </w:tr>
      <w:tr w:rsidR="00AB65B7" w:rsidRPr="00AB65B7" w:rsidTr="00AB65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Plus de 61 ans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AB65B7" w:rsidRPr="00AB65B7" w:rsidTr="00AB65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5B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65B7" w:rsidRPr="00AB65B7" w:rsidRDefault="00AB65B7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7" w:rsidRPr="00AB65B7" w:rsidRDefault="00AB65B7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5B7" w:rsidRPr="00AB65B7" w:rsidRDefault="00AB65B7" w:rsidP="00025BA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5B7" w:rsidRPr="00090646" w:rsidRDefault="00AB65B7" w:rsidP="00025BAD">
      <w:pPr>
        <w:spacing w:line="240" w:lineRule="auto"/>
        <w:jc w:val="center"/>
        <w:rPr>
          <w:b/>
          <w:sz w:val="36"/>
          <w:szCs w:val="36"/>
        </w:rPr>
      </w:pPr>
      <w:r w:rsidRPr="00090646">
        <w:rPr>
          <w:b/>
          <w:sz w:val="36"/>
          <w:szCs w:val="36"/>
        </w:rPr>
        <w:t>Croisement des v</w:t>
      </w:r>
      <w:r w:rsidR="00090646" w:rsidRPr="00090646">
        <w:rPr>
          <w:b/>
          <w:sz w:val="36"/>
          <w:szCs w:val="36"/>
        </w:rPr>
        <w:t>ariables dichotomisées avec l’intelligibilité IC Laffont/IC Phases</w:t>
      </w:r>
    </w:p>
    <w:p w:rsidR="00090646" w:rsidRDefault="00090646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646" w:rsidRPr="00090646" w:rsidRDefault="00090646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90646">
        <w:rPr>
          <w:rFonts w:ascii="Arial" w:hAnsi="Arial" w:cs="Arial"/>
          <w:b/>
          <w:color w:val="000000"/>
        </w:rPr>
        <w:t>Age instauration surdité en 2 groupes</w:t>
      </w:r>
      <w:r w:rsidR="00B4108D">
        <w:rPr>
          <w:rFonts w:ascii="Arial" w:hAnsi="Arial" w:cs="Arial"/>
          <w:b/>
          <w:color w:val="000000"/>
        </w:rPr>
        <w:t xml:space="preserve"> * IC </w:t>
      </w:r>
      <w:proofErr w:type="spellStart"/>
      <w:r w:rsidR="00B4108D">
        <w:rPr>
          <w:rFonts w:ascii="Arial" w:hAnsi="Arial" w:cs="Arial"/>
          <w:b/>
          <w:color w:val="000000"/>
        </w:rPr>
        <w:t>Lafont</w:t>
      </w:r>
      <w:proofErr w:type="spellEnd"/>
    </w:p>
    <w:tbl>
      <w:tblPr>
        <w:tblW w:w="990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15"/>
        <w:gridCol w:w="1268"/>
        <w:gridCol w:w="2416"/>
        <w:gridCol w:w="1450"/>
        <w:gridCol w:w="1345"/>
        <w:gridCol w:w="1006"/>
      </w:tblGrid>
      <w:tr w:rsidR="00090646" w:rsidRPr="000906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06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090646" w:rsidRPr="000906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006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90646" w:rsidRPr="000906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34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06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0646" w:rsidRPr="000906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Age instauration surdité en 2 groupes</w:t>
            </w:r>
          </w:p>
        </w:tc>
        <w:tc>
          <w:tcPr>
            <w:tcW w:w="126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29 ans ou -</w:t>
            </w:r>
          </w:p>
        </w:tc>
        <w:tc>
          <w:tcPr>
            <w:tcW w:w="24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4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90646" w:rsidRPr="000906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44,4%</w:t>
            </w:r>
          </w:p>
        </w:tc>
        <w:tc>
          <w:tcPr>
            <w:tcW w:w="13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100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52,2%</w:t>
            </w:r>
          </w:p>
        </w:tc>
      </w:tr>
      <w:tr w:rsidR="00090646" w:rsidRPr="000906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+ de 29 ans</w:t>
            </w:r>
          </w:p>
        </w:tc>
        <w:tc>
          <w:tcPr>
            <w:tcW w:w="241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4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090646" w:rsidRPr="000906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55,6%</w:t>
            </w:r>
          </w:p>
        </w:tc>
        <w:tc>
          <w:tcPr>
            <w:tcW w:w="13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00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47,8%</w:t>
            </w:r>
          </w:p>
        </w:tc>
      </w:tr>
      <w:tr w:rsidR="00090646" w:rsidRPr="000906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82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1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4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090646" w:rsidRPr="00090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646" w:rsidRPr="00090646" w:rsidRDefault="00090646" w:rsidP="00025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64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090646" w:rsidRPr="00090646" w:rsidRDefault="00090646" w:rsidP="00025BA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90646">
        <w:rPr>
          <w:rFonts w:cs="Times New Roman"/>
          <w:sz w:val="24"/>
          <w:szCs w:val="24"/>
        </w:rPr>
        <w:sym w:font="Wingdings" w:char="F0E8"/>
      </w:r>
      <w:r w:rsidRPr="00090646">
        <w:rPr>
          <w:rFonts w:cs="Times New Roman"/>
          <w:sz w:val="24"/>
          <w:szCs w:val="24"/>
        </w:rPr>
        <w:t xml:space="preserve"> Pas de lien stat… Comme lorsque la variable âge n’était pas dichotomisée…</w:t>
      </w:r>
    </w:p>
    <w:p w:rsidR="00090646" w:rsidRDefault="00090646" w:rsidP="0002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CD4" w:rsidRPr="007B2153" w:rsidRDefault="007B2153" w:rsidP="00025BAD">
      <w:pPr>
        <w:spacing w:line="240" w:lineRule="auto"/>
        <w:rPr>
          <w:b/>
          <w:sz w:val="28"/>
          <w:szCs w:val="28"/>
        </w:rPr>
      </w:pPr>
      <w:r w:rsidRPr="007B2153">
        <w:rPr>
          <w:b/>
          <w:sz w:val="28"/>
          <w:szCs w:val="28"/>
        </w:rPr>
        <w:t>Bon, j</w:t>
      </w:r>
      <w:r w:rsidR="006C6CD4" w:rsidRPr="007B2153">
        <w:rPr>
          <w:b/>
          <w:sz w:val="28"/>
          <w:szCs w:val="28"/>
        </w:rPr>
        <w:t xml:space="preserve">’ai fait le même exercice avec les autres variables (voir doc </w:t>
      </w:r>
      <w:proofErr w:type="spellStart"/>
      <w:r w:rsidR="006C6CD4" w:rsidRPr="007B2153">
        <w:rPr>
          <w:b/>
          <w:sz w:val="28"/>
          <w:szCs w:val="28"/>
        </w:rPr>
        <w:t>excel</w:t>
      </w:r>
      <w:proofErr w:type="spellEnd"/>
      <w:r w:rsidR="006C6CD4" w:rsidRPr="007B2153">
        <w:rPr>
          <w:b/>
          <w:sz w:val="28"/>
          <w:szCs w:val="28"/>
        </w:rPr>
        <w:t>) et on n’observe aucun lien entre ces variables et le fait d’avoir regagné ou pas en intelligibilité…</w:t>
      </w:r>
    </w:p>
    <w:p w:rsidR="002B018B" w:rsidRDefault="002B018B">
      <w:r>
        <w:br w:type="page"/>
      </w:r>
    </w:p>
    <w:p w:rsidR="006C6CD4" w:rsidRDefault="006C6CD4" w:rsidP="00025BAD">
      <w:pPr>
        <w:spacing w:line="240" w:lineRule="auto"/>
      </w:pPr>
    </w:p>
    <w:p w:rsidR="00025BAD" w:rsidRPr="00660060" w:rsidRDefault="00025BAD" w:rsidP="00025BA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Quelques graphiques </w:t>
      </w:r>
      <w:r w:rsidRPr="00660060">
        <w:rPr>
          <w:rFonts w:cs="Times New Roman"/>
          <w:b/>
          <w:sz w:val="28"/>
          <w:szCs w:val="28"/>
          <w:u w:val="single"/>
        </w:rPr>
        <w:t>:</w:t>
      </w:r>
    </w:p>
    <w:p w:rsidR="00090646" w:rsidRDefault="00090646" w:rsidP="00025BAD">
      <w:pPr>
        <w:spacing w:line="240" w:lineRule="auto"/>
      </w:pPr>
    </w:p>
    <w:p w:rsidR="00025BAD" w:rsidRDefault="002B018B" w:rsidP="00025BAD">
      <w:pPr>
        <w:spacing w:line="240" w:lineRule="auto"/>
      </w:pPr>
      <w:r w:rsidRPr="002B018B">
        <w:drawing>
          <wp:inline distT="0" distB="0" distL="0" distR="0">
            <wp:extent cx="5751020" cy="4180114"/>
            <wp:effectExtent l="19050" t="0" r="2113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25BAD" w:rsidRPr="00090646" w:rsidRDefault="00025BAD" w:rsidP="00025BAD">
      <w:pPr>
        <w:spacing w:line="240" w:lineRule="auto"/>
      </w:pPr>
    </w:p>
    <w:sectPr w:rsidR="00025BAD" w:rsidRPr="00090646" w:rsidSect="00C2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60060"/>
    <w:rsid w:val="00025BAD"/>
    <w:rsid w:val="00090646"/>
    <w:rsid w:val="002B018B"/>
    <w:rsid w:val="00472F9F"/>
    <w:rsid w:val="00660060"/>
    <w:rsid w:val="006C6CD4"/>
    <w:rsid w:val="007B2153"/>
    <w:rsid w:val="009252BA"/>
    <w:rsid w:val="00AB65B7"/>
    <w:rsid w:val="00B4108D"/>
    <w:rsid w:val="00BB6C20"/>
    <w:rsid w:val="00C2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0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cok\Desktop\Copie%20otospongiose_initial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stacked"/>
        <c:ser>
          <c:idx val="0"/>
          <c:order val="0"/>
          <c:tx>
            <c:strRef>
              <c:f>Feuil2!$C$1</c:f>
              <c:strCache>
                <c:ptCount val="1"/>
                <c:pt idx="0">
                  <c:v>Age d'instauration de la surdité</c:v>
                </c:pt>
              </c:strCache>
            </c:strRef>
          </c:tx>
          <c:val>
            <c:numRef>
              <c:f>Feuil2!$C$2:$C$24</c:f>
              <c:numCache>
                <c:formatCode>General</c:formatCode>
                <c:ptCount val="23"/>
                <c:pt idx="0">
                  <c:v>28</c:v>
                </c:pt>
                <c:pt idx="1">
                  <c:v>40</c:v>
                </c:pt>
                <c:pt idx="2">
                  <c:v>37</c:v>
                </c:pt>
                <c:pt idx="3">
                  <c:v>27</c:v>
                </c:pt>
                <c:pt idx="4">
                  <c:v>40</c:v>
                </c:pt>
                <c:pt idx="5">
                  <c:v>13</c:v>
                </c:pt>
                <c:pt idx="6">
                  <c:v>20</c:v>
                </c:pt>
                <c:pt idx="7">
                  <c:v>31</c:v>
                </c:pt>
                <c:pt idx="8">
                  <c:v>48</c:v>
                </c:pt>
                <c:pt idx="9">
                  <c:v>30</c:v>
                </c:pt>
                <c:pt idx="10">
                  <c:v>30</c:v>
                </c:pt>
                <c:pt idx="11">
                  <c:v>10</c:v>
                </c:pt>
                <c:pt idx="12">
                  <c:v>20</c:v>
                </c:pt>
                <c:pt idx="13">
                  <c:v>21</c:v>
                </c:pt>
                <c:pt idx="14">
                  <c:v>30</c:v>
                </c:pt>
                <c:pt idx="15">
                  <c:v>26</c:v>
                </c:pt>
                <c:pt idx="16">
                  <c:v>10</c:v>
                </c:pt>
                <c:pt idx="17">
                  <c:v>40</c:v>
                </c:pt>
                <c:pt idx="18">
                  <c:v>28</c:v>
                </c:pt>
                <c:pt idx="19">
                  <c:v>32</c:v>
                </c:pt>
                <c:pt idx="20">
                  <c:v>33</c:v>
                </c:pt>
                <c:pt idx="21">
                  <c:v>29</c:v>
                </c:pt>
                <c:pt idx="22">
                  <c:v>20</c:v>
                </c:pt>
              </c:numCache>
            </c:numRef>
          </c:val>
        </c:ser>
        <c:ser>
          <c:idx val="1"/>
          <c:order val="1"/>
          <c:tx>
            <c:strRef>
              <c:f>Feuil2!$D$1</c:f>
              <c:strCache>
                <c:ptCount val="1"/>
                <c:pt idx="0">
                  <c:v>durée vers la surdité profonde</c:v>
                </c:pt>
              </c:strCache>
            </c:strRef>
          </c:tx>
          <c:val>
            <c:numRef>
              <c:f>Feuil2!$D$2:$D$24</c:f>
              <c:numCache>
                <c:formatCode>General</c:formatCode>
                <c:ptCount val="23"/>
                <c:pt idx="0">
                  <c:v>56</c:v>
                </c:pt>
                <c:pt idx="1">
                  <c:v>31</c:v>
                </c:pt>
                <c:pt idx="2">
                  <c:v>37</c:v>
                </c:pt>
                <c:pt idx="3">
                  <c:v>43</c:v>
                </c:pt>
                <c:pt idx="4">
                  <c:v>25</c:v>
                </c:pt>
                <c:pt idx="5">
                  <c:v>42</c:v>
                </c:pt>
                <c:pt idx="6">
                  <c:v>31</c:v>
                </c:pt>
                <c:pt idx="7">
                  <c:v>32</c:v>
                </c:pt>
                <c:pt idx="8">
                  <c:v>17</c:v>
                </c:pt>
                <c:pt idx="9">
                  <c:v>24</c:v>
                </c:pt>
                <c:pt idx="10">
                  <c:v>5</c:v>
                </c:pt>
                <c:pt idx="11">
                  <c:v>44</c:v>
                </c:pt>
                <c:pt idx="12">
                  <c:v>8</c:v>
                </c:pt>
                <c:pt idx="13">
                  <c:v>34</c:v>
                </c:pt>
                <c:pt idx="14">
                  <c:v>0</c:v>
                </c:pt>
                <c:pt idx="15">
                  <c:v>18</c:v>
                </c:pt>
                <c:pt idx="16">
                  <c:v>42</c:v>
                </c:pt>
                <c:pt idx="17">
                  <c:v>0</c:v>
                </c:pt>
                <c:pt idx="18">
                  <c:v>5</c:v>
                </c:pt>
                <c:pt idx="19">
                  <c:v>3</c:v>
                </c:pt>
                <c:pt idx="20">
                  <c:v>9</c:v>
                </c:pt>
                <c:pt idx="21">
                  <c:v>13</c:v>
                </c:pt>
                <c:pt idx="22">
                  <c:v>9</c:v>
                </c:pt>
              </c:numCache>
            </c:numRef>
          </c:val>
        </c:ser>
        <c:ser>
          <c:idx val="2"/>
          <c:order val="2"/>
          <c:tx>
            <c:strRef>
              <c:f>Feuil2!$E$1</c:f>
              <c:strCache>
                <c:ptCount val="1"/>
                <c:pt idx="0">
                  <c:v>durée de la surdité profonde avant implant</c:v>
                </c:pt>
              </c:strCache>
            </c:strRef>
          </c:tx>
          <c:val>
            <c:numRef>
              <c:f>Feuil2!$E$2:$E$24</c:f>
              <c:numCache>
                <c:formatCode>General</c:formatCode>
                <c:ptCount val="23"/>
                <c:pt idx="0">
                  <c:v>1</c:v>
                </c:pt>
                <c:pt idx="1">
                  <c:v>7</c:v>
                </c:pt>
                <c:pt idx="2">
                  <c:v>3</c:v>
                </c:pt>
                <c:pt idx="3">
                  <c:v>2</c:v>
                </c:pt>
                <c:pt idx="4">
                  <c:v>7</c:v>
                </c:pt>
                <c:pt idx="5">
                  <c:v>16</c:v>
                </c:pt>
                <c:pt idx="6">
                  <c:v>20</c:v>
                </c:pt>
                <c:pt idx="7">
                  <c:v>4</c:v>
                </c:pt>
                <c:pt idx="8">
                  <c:v>2</c:v>
                </c:pt>
                <c:pt idx="9">
                  <c:v>8</c:v>
                </c:pt>
                <c:pt idx="10">
                  <c:v>26</c:v>
                </c:pt>
                <c:pt idx="11">
                  <c:v>7</c:v>
                </c:pt>
                <c:pt idx="12">
                  <c:v>33</c:v>
                </c:pt>
                <c:pt idx="13">
                  <c:v>5</c:v>
                </c:pt>
                <c:pt idx="14">
                  <c:v>24</c:v>
                </c:pt>
                <c:pt idx="15">
                  <c:v>9</c:v>
                </c:pt>
                <c:pt idx="16">
                  <c:v>1</c:v>
                </c:pt>
                <c:pt idx="17">
                  <c:v>10</c:v>
                </c:pt>
                <c:pt idx="18">
                  <c:v>14</c:v>
                </c:pt>
                <c:pt idx="19">
                  <c:v>9</c:v>
                </c:pt>
                <c:pt idx="20">
                  <c:v>2</c:v>
                </c:pt>
                <c:pt idx="21">
                  <c:v>2</c:v>
                </c:pt>
                <c:pt idx="22">
                  <c:v>7</c:v>
                </c:pt>
              </c:numCache>
            </c:numRef>
          </c:val>
        </c:ser>
        <c:gapWidth val="79"/>
        <c:overlap val="100"/>
        <c:axId val="176708608"/>
        <c:axId val="176853760"/>
      </c:barChart>
      <c:catAx>
        <c:axId val="176708608"/>
        <c:scaling>
          <c:orientation val="minMax"/>
        </c:scaling>
        <c:axPos val="b"/>
        <c:tickLblPos val="nextTo"/>
        <c:crossAx val="176853760"/>
        <c:crosses val="autoZero"/>
        <c:auto val="1"/>
        <c:lblAlgn val="ctr"/>
        <c:lblOffset val="100"/>
      </c:catAx>
      <c:valAx>
        <c:axId val="176853760"/>
        <c:scaling>
          <c:orientation val="minMax"/>
        </c:scaling>
        <c:axPos val="l"/>
        <c:majorGridlines>
          <c:spPr>
            <a:ln>
              <a:solidFill>
                <a:schemeClr val="bg1">
                  <a:lumMod val="65000"/>
                </a:schemeClr>
              </a:solidFill>
            </a:ln>
          </c:spPr>
        </c:majorGridlines>
        <c:numFmt formatCode="#,##0;\-#,##0" sourceLinked="0"/>
        <c:tickLblPos val="nextTo"/>
        <c:crossAx val="17670860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786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Curtelin</dc:creator>
  <cp:lastModifiedBy>Nicolas Curtelin</cp:lastModifiedBy>
  <cp:revision>5</cp:revision>
  <dcterms:created xsi:type="dcterms:W3CDTF">2011-09-02T18:06:00Z</dcterms:created>
  <dcterms:modified xsi:type="dcterms:W3CDTF">2011-09-02T20:15:00Z</dcterms:modified>
</cp:coreProperties>
</file>